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Manutenzione ordinaria -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tratta di interventi edilizi che riguardano le opere di riparazione, rinnovamento sostituzione delle finiture degli edifici e quelli necessari ad integrare o mantenere in efficienza gli impianti tecnologici esistenti.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D.P.R. n. 380/2001 - Legge regionale - Regolamento Edilizio - D.P.R. 445/2000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Modulo per la presentazione dell'istanza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LINK 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xxx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